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17573" w:rsidRDefault="00E17573" w:rsidP="00F251C7">
      <w:pPr>
        <w:pStyle w:val="NormalWeb"/>
        <w:shd w:val="clear" w:color="auto" w:fill="FFFFFF"/>
        <w:spacing w:before="0" w:beforeAutospacing="0" w:after="300" w:afterAutospacing="0" w:line="480" w:lineRule="auto"/>
        <w:jc w:val="both"/>
      </w:pPr>
    </w:p>
    <w:p w:rsidR="00E17573" w:rsidRDefault="00E17573">
      <w:pPr>
        <w:pStyle w:val="NormalWeb"/>
        <w:shd w:val="clear" w:color="auto" w:fill="FFFFFF"/>
        <w:spacing w:before="0" w:beforeAutospacing="0" w:after="300" w:afterAutospacing="0" w:line="480" w:lineRule="auto"/>
        <w:jc w:val="both"/>
      </w:pPr>
    </w:p>
    <w:p w:rsidR="00FB5DA7" w:rsidRPr="00FB5DA7" w:rsidRDefault="00FB5DA7" w:rsidP="00FB5DA7">
      <w:pPr>
        <w:spacing w:after="0" w:line="240" w:lineRule="auto"/>
        <w:divId w:val="382679210"/>
        <w:rPr>
          <w:rFonts w:ascii="Times New Roman" w:eastAsia="Times New Roman" w:hAnsi="Times New Roman" w:cs="Times New Roman"/>
          <w:sz w:val="24"/>
          <w:szCs w:val="24"/>
        </w:rPr>
      </w:pPr>
      <w:r w:rsidRPr="00FB5DA7">
        <w:rPr>
          <w:rFonts w:ascii="Times New Roman" w:eastAsia="Times New Roman" w:hAnsi="Times New Roman" w:cs="Times New Roman"/>
          <w:color w:val="000000"/>
          <w:sz w:val="27"/>
          <w:szCs w:val="27"/>
        </w:rPr>
        <w:t>HOW DIFFERENT DEMOGRAPHIC SEGMENTS USE AND ACCESS SOCIAL MEDIA.</w:t>
      </w:r>
    </w:p>
    <w:p w:rsidR="00E17573" w:rsidRDefault="00E17573">
      <w:pPr>
        <w:pStyle w:val="NormalWeb"/>
        <w:shd w:val="clear" w:color="auto" w:fill="FFFFFF"/>
        <w:spacing w:before="0" w:beforeAutospacing="0" w:after="300" w:afterAutospacing="0" w:line="480" w:lineRule="auto"/>
        <w:jc w:val="both"/>
      </w:pPr>
    </w:p>
    <w:p w:rsidR="00E17573" w:rsidRDefault="00E17573">
      <w:pPr>
        <w:pStyle w:val="NormalWeb"/>
        <w:shd w:val="clear" w:color="auto" w:fill="FFFFFF"/>
        <w:spacing w:before="0" w:beforeAutospacing="0" w:after="300" w:afterAutospacing="0" w:line="480" w:lineRule="auto"/>
        <w:jc w:val="both"/>
      </w:pPr>
    </w:p>
    <w:p w:rsidR="00E17573" w:rsidRDefault="000F18C7">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thorough understanding of how different kinds of people engage with the modern world is required to market to various audiences. You need to know how and how different populations use and navigate digital. This paper illuminates one central pillar of the modern world: social media. It provides a greater picture of the social use of people of various ages.</w:t>
      </w:r>
    </w:p>
    <w:p w:rsidR="00E17573" w:rsidRDefault="000F18C7">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Over 60.</w:t>
      </w:r>
    </w:p>
    <w:p w:rsidR="00E17573" w:rsidRDefault="000F18C7">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Among certain social media advertisers, the propensity to undervalue older viewers remains regrettable. There is a reasonably good explanation why some advertisers do this monitoring – according to a Pew Research Center report, ownership of a social media site in the sixties has dropped by 12% since 2011. Seven years later, in 2018, Pew announced a 37% improvement in this statistic. While smaller groups tend to use a wider range of social media, particularly Instagram and Snap chat, the huge numbers of social users over 60 use Facebook alone. In a short term, Facebook is the medium to rely on when it comes to marketing for older people. (</w:t>
      </w:r>
      <w:proofErr w:type="spellStart"/>
      <w:r>
        <w:rPr>
          <w:rFonts w:ascii="Times New Roman" w:eastAsia="Times New Roman" w:hAnsi="Times New Roman" w:cs="Times New Roman"/>
          <w:sz w:val="24"/>
          <w:szCs w:val="24"/>
        </w:rPr>
        <w:t>Criley</w:t>
      </w:r>
      <w:proofErr w:type="spellEnd"/>
      <w:r>
        <w:rPr>
          <w:rFonts w:ascii="Times New Roman" w:eastAsia="Times New Roman" w:hAnsi="Times New Roman" w:cs="Times New Roman"/>
          <w:sz w:val="24"/>
          <w:szCs w:val="24"/>
        </w:rPr>
        <w:t xml:space="preserve"> R et al, 2020). Senior Facebook users have typically shown a propensity to network and engage in </w:t>
      </w:r>
      <w:r>
        <w:rPr>
          <w:rFonts w:ascii="Times New Roman" w:eastAsia="Times New Roman" w:hAnsi="Times New Roman" w:cs="Times New Roman"/>
          <w:sz w:val="24"/>
          <w:szCs w:val="24"/>
        </w:rPr>
        <w:lastRenderedPageBreak/>
        <w:t>discussions using the platform; in comparison with youngest ones, many of whom are more involved in identity-forming practices such as selfies. [The Cangelosi J, 2020].</w:t>
      </w:r>
    </w:p>
    <w:p w:rsidR="00E17573" w:rsidRDefault="000F18C7">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Baby Boomers.</w:t>
      </w:r>
    </w:p>
    <w:p w:rsidR="00E17573" w:rsidRDefault="000F18C7">
      <w:pPr>
        <w:spacing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Around 65percent of people that falls in the age group usually have a Facebook page, while substantial minorities are also subscribing on other social sites such as LinkedIn (24%) and Instagram (21 percent )</w:t>
      </w:r>
    </w:p>
    <w:p w:rsidR="00E17573" w:rsidRDefault="00E17573">
      <w:pPr>
        <w:spacing w:line="480" w:lineRule="auto"/>
        <w:jc w:val="both"/>
        <w:rPr>
          <w:rFonts w:ascii="Times New Roman" w:eastAsia="Times New Roman" w:hAnsi="Times New Roman" w:cs="Times New Roman"/>
          <w:sz w:val="24"/>
          <w:szCs w:val="24"/>
        </w:rPr>
      </w:pPr>
    </w:p>
    <w:p w:rsidR="00E17573" w:rsidRDefault="000F18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group there is large numbers of individuals that uses LinkedIn (Sand M, et al, 2019) as the business-focused social network. The funding of the corporate decision makers has helped to make LinkedIn the perhaps most relevant social selling site.</w:t>
      </w:r>
    </w:p>
    <w:p w:rsidR="00E17573" w:rsidRDefault="00E17573">
      <w:pPr>
        <w:spacing w:line="480" w:lineRule="auto"/>
        <w:jc w:val="both"/>
        <w:rPr>
          <w:rFonts w:ascii="Times New Roman" w:eastAsia="Times New Roman" w:hAnsi="Times New Roman" w:cs="Times New Roman"/>
          <w:sz w:val="24"/>
          <w:szCs w:val="24"/>
        </w:rPr>
      </w:pPr>
    </w:p>
    <w:p w:rsidR="00E17573" w:rsidRDefault="000F18C7">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Generation X</w:t>
      </w:r>
    </w:p>
    <w:p w:rsidR="00E17573" w:rsidRDefault="000F18C7">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Anyone born in the years 1965 to 1979 is considered as part of Generation X. This group was not taught and trained to use Internet and new technology as adults. Generation X can quickly incorporate technology into your everyday life, use school computers and grow up as the internet evolves (Hill, 2018). They are often underestimated despite the fact, according to a Nielsen survey, that they spend on social media networks an average of 6 hours 58 minutes a week. This generation embraced social networks easily, but unlike millennial they did not inherit the 'selfie mentality often related to social media. </w:t>
      </w:r>
      <w:proofErr w:type="spellStart"/>
      <w:r>
        <w:rPr>
          <w:rFonts w:ascii="Times New Roman" w:eastAsia="Times New Roman" w:hAnsi="Times New Roman" w:cs="Times New Roman"/>
          <w:sz w:val="24"/>
          <w:szCs w:val="24"/>
        </w:rPr>
        <w:t>Gen</w:t>
      </w:r>
      <w:proofErr w:type="spellEnd"/>
      <w:r>
        <w:rPr>
          <w:rFonts w:ascii="Times New Roman" w:eastAsia="Times New Roman" w:hAnsi="Times New Roman" w:cs="Times New Roman"/>
          <w:sz w:val="24"/>
          <w:szCs w:val="24"/>
        </w:rPr>
        <w:t xml:space="preserve"> X would not want to advertise its personal life on social </w:t>
      </w:r>
      <w:r>
        <w:rPr>
          <w:rFonts w:ascii="Times New Roman" w:eastAsia="Times New Roman" w:hAnsi="Times New Roman" w:cs="Times New Roman"/>
          <w:sz w:val="24"/>
          <w:szCs w:val="24"/>
        </w:rPr>
        <w:lastRenderedPageBreak/>
        <w:t>media, only 24 percent shared it. They like to spend most of their time with friends and looking for information, similar to baby boomers.</w:t>
      </w:r>
    </w:p>
    <w:p w:rsidR="00E17573" w:rsidRDefault="000F18C7">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Generation X enjoys its individuality and needs to perform analysis before purchasing 68 percent based on online feedback. (Sand et al, 2019). They are both eager multitasks and move between various devices frequently. Facebook is their preferred media medium. It is important to note that social media marketing is the age of counterculture in order to reach Generation X; they respect their individuality and make wise buying choices after diligent online study.</w:t>
      </w:r>
    </w:p>
    <w:p w:rsidR="00E17573" w:rsidRDefault="00E17573">
      <w:pPr>
        <w:spacing w:line="480" w:lineRule="auto"/>
        <w:jc w:val="center"/>
        <w:rPr>
          <w:rFonts w:ascii="Times New Roman" w:eastAsia="Times New Roman" w:hAnsi="Times New Roman" w:cs="Times New Roman"/>
          <w:b/>
          <w:sz w:val="24"/>
          <w:szCs w:val="24"/>
        </w:rPr>
      </w:pPr>
    </w:p>
    <w:p w:rsidR="00E17573" w:rsidRDefault="00E17573">
      <w:pPr>
        <w:spacing w:line="480" w:lineRule="auto"/>
        <w:jc w:val="center"/>
        <w:rPr>
          <w:rFonts w:ascii="Times New Roman" w:eastAsia="Times New Roman" w:hAnsi="Times New Roman" w:cs="Times New Roman"/>
          <w:b/>
          <w:sz w:val="24"/>
          <w:szCs w:val="24"/>
        </w:rPr>
      </w:pPr>
    </w:p>
    <w:p w:rsidR="00E17573" w:rsidRDefault="000F18C7">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Generation Y</w:t>
      </w:r>
    </w:p>
    <w:p w:rsidR="00E17573" w:rsidRDefault="000F18C7">
      <w:pPr>
        <w:spacing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Of the many points which must be made about how 30-40 people use social media, possibly the most striking and definitely more up-to-date is that people between the ages of 30 and 19 are easily most likely to receive news from social media. Facebook can claim the largest share of news browsers – 45 percent. It offers advertisers a chance and a competition on the one hand. This age group of quality content marketing via social media can be targeted in a substantial way, but most of us would have to aspire for quality over quantity if our content is to reflect the high-quality journalism which many adults are searching for both Socially and pointedly. (Salo et al, 2020).</w:t>
      </w:r>
    </w:p>
    <w:p w:rsidR="00E17573" w:rsidRDefault="000F18C7">
      <w:pPr>
        <w:spacing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LinkedIn, Twitter and Facebook have become widely seen as news outlets and have reshaped ideas of what social media can be. Up until recently, much of the social and journalism debate has centered on encouraging social media users to break news </w:t>
      </w:r>
      <w:r>
        <w:rPr>
          <w:rFonts w:ascii="Times New Roman" w:eastAsia="Times New Roman" w:hAnsi="Times New Roman" w:cs="Times New Roman"/>
          <w:sz w:val="24"/>
          <w:szCs w:val="24"/>
        </w:rPr>
        <w:lastRenderedPageBreak/>
        <w:t>earlier than any reporter will ever be able to reverse the problem of how the news is generated and covered by journalists. Today we speak to social media sites as more than mere news outlets.</w:t>
      </w:r>
    </w:p>
    <w:p w:rsidR="00E17573" w:rsidRDefault="000F18C7">
      <w:pPr>
        <w:spacing w:line="48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Millennial.</w:t>
      </w:r>
    </w:p>
    <w:p w:rsidR="00E17573" w:rsidRDefault="000F18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other facets of modern technologies, the pace of progress in social media is rapidly rising. One of the implications of this development is that new web users are evolving more and more. For this cause we see a much greater shift at the lower end of the spectrum in the generational age groups. In the younger millennium, two main patterns are emerging. First of all, those aged 18 to 24 display a far higher propensity to use image-led social media than their elderly counterparts. As per the new Harvard IOP study, How Millennial use Social Media (2015) – 51% of 18-24 year olds use Instagram, versus 34% of 25-29. (</w:t>
      </w:r>
      <w:proofErr w:type="spellStart"/>
      <w:r>
        <w:rPr>
          <w:rFonts w:ascii="Times New Roman" w:eastAsia="Times New Roman" w:hAnsi="Times New Roman" w:cs="Times New Roman"/>
          <w:sz w:val="24"/>
          <w:szCs w:val="24"/>
        </w:rPr>
        <w:t>Achner</w:t>
      </w:r>
      <w:proofErr w:type="spellEnd"/>
      <w:r>
        <w:rPr>
          <w:rFonts w:ascii="Times New Roman" w:eastAsia="Times New Roman" w:hAnsi="Times New Roman" w:cs="Times New Roman"/>
          <w:sz w:val="24"/>
          <w:szCs w:val="24"/>
        </w:rPr>
        <w:t xml:space="preserve"> et al, 2018) The gap in the use of snapchat is much more pronounced, 42 to 20 percent in favor of the younger group.</w:t>
      </w:r>
    </w:p>
    <w:p w:rsidR="00E17573" w:rsidRDefault="000F18C7">
      <w:pPr>
        <w:spacing w:line="480" w:lineRule="auto"/>
        <w:ind w:firstLine="720"/>
        <w:jc w:val="both"/>
        <w:rPr>
          <w:rFonts w:ascii="Arial" w:hAnsi="Arial" w:cs="Arial"/>
          <w:b/>
          <w:bCs/>
          <w:color w:val="222222"/>
          <w:sz w:val="20"/>
          <w:szCs w:val="20"/>
          <w:shd w:val="clear" w:color="auto" w:fill="FFFFFF"/>
        </w:rPr>
      </w:pPr>
      <w:r>
        <w:rPr>
          <w:rFonts w:ascii="Times New Roman" w:eastAsia="Times New Roman" w:hAnsi="Times New Roman" w:cs="Times New Roman"/>
          <w:sz w:val="24"/>
          <w:szCs w:val="24"/>
        </w:rPr>
        <w:t>The use of social media is larger and the network is more common in younger millennia. Instagram and Snapchat must play a role in your networking campaign. We cannot quantify connections between social media, such as instant messaging received by applications like Facebook Messenger and the WhatsApp (Baykal B, 2020). The social media base has become more reflective of the general public as people embrace social media. Young adults were among the first adopters of social media and continue to use these platforms at high levels, but their use in recent years has grown.</w:t>
      </w:r>
    </w:p>
    <w:p w:rsidR="00E17573" w:rsidRDefault="00E17573">
      <w:pPr>
        <w:spacing w:line="480" w:lineRule="auto"/>
        <w:jc w:val="both"/>
        <w:rPr>
          <w:rFonts w:ascii="Arial" w:hAnsi="Arial" w:cs="Arial"/>
          <w:b/>
          <w:bCs/>
          <w:color w:val="222222"/>
          <w:sz w:val="20"/>
          <w:szCs w:val="20"/>
          <w:shd w:val="clear" w:color="auto" w:fill="FFFFFF"/>
        </w:rPr>
      </w:pPr>
    </w:p>
    <w:p w:rsidR="00E17573" w:rsidRDefault="00E17573">
      <w:pPr>
        <w:spacing w:line="480" w:lineRule="auto"/>
        <w:jc w:val="both"/>
        <w:rPr>
          <w:rFonts w:ascii="Arial" w:hAnsi="Arial" w:cs="Arial"/>
          <w:b/>
          <w:bCs/>
          <w:color w:val="222222"/>
          <w:sz w:val="20"/>
          <w:szCs w:val="20"/>
          <w:shd w:val="clear" w:color="auto" w:fill="FFFFFF"/>
        </w:rPr>
      </w:pPr>
    </w:p>
    <w:p w:rsidR="00E17573" w:rsidRDefault="00E17573">
      <w:pPr>
        <w:spacing w:line="480" w:lineRule="auto"/>
        <w:jc w:val="both"/>
        <w:rPr>
          <w:rFonts w:ascii="Arial" w:hAnsi="Arial" w:cs="Arial"/>
          <w:b/>
          <w:bCs/>
          <w:color w:val="222222"/>
          <w:sz w:val="20"/>
          <w:szCs w:val="20"/>
          <w:shd w:val="clear" w:color="auto" w:fill="FFFFFF"/>
        </w:rPr>
      </w:pPr>
    </w:p>
    <w:p w:rsidR="00E17573" w:rsidRDefault="00E17573">
      <w:pPr>
        <w:spacing w:line="480" w:lineRule="auto"/>
        <w:jc w:val="both"/>
        <w:rPr>
          <w:rFonts w:ascii="Arial" w:hAnsi="Arial" w:cs="Arial"/>
          <w:b/>
          <w:bCs/>
          <w:color w:val="222222"/>
          <w:sz w:val="20"/>
          <w:szCs w:val="20"/>
          <w:shd w:val="clear" w:color="auto" w:fill="FFFFFF"/>
        </w:rPr>
      </w:pPr>
    </w:p>
    <w:p w:rsidR="00E17573" w:rsidRDefault="00E17573">
      <w:pPr>
        <w:spacing w:line="480" w:lineRule="auto"/>
        <w:jc w:val="both"/>
        <w:rPr>
          <w:rFonts w:ascii="Arial" w:hAnsi="Arial" w:cs="Arial"/>
          <w:b/>
          <w:bCs/>
          <w:color w:val="222222"/>
          <w:sz w:val="20"/>
          <w:szCs w:val="20"/>
          <w:shd w:val="clear" w:color="auto" w:fill="FFFFFF"/>
        </w:rPr>
      </w:pPr>
    </w:p>
    <w:p w:rsidR="00E17573" w:rsidRDefault="00E17573">
      <w:pPr>
        <w:spacing w:line="480" w:lineRule="auto"/>
        <w:contextualSpacing/>
        <w:jc w:val="both"/>
        <w:rPr>
          <w:rFonts w:ascii="Times New Roman" w:hAnsi="Times New Roman" w:cs="Times New Roman"/>
          <w:b/>
          <w:bCs/>
          <w:color w:val="222222"/>
          <w:sz w:val="24"/>
          <w:szCs w:val="24"/>
          <w:shd w:val="clear" w:color="auto" w:fill="FFFFFF"/>
        </w:rPr>
      </w:pPr>
    </w:p>
    <w:p w:rsidR="00E17573" w:rsidRDefault="00E17573">
      <w:pPr>
        <w:spacing w:line="480" w:lineRule="auto"/>
        <w:contextualSpacing/>
        <w:jc w:val="both"/>
        <w:rPr>
          <w:rFonts w:ascii="Times New Roman" w:hAnsi="Times New Roman" w:cs="Times New Roman"/>
          <w:b/>
          <w:bCs/>
          <w:color w:val="222222"/>
          <w:sz w:val="24"/>
          <w:szCs w:val="24"/>
          <w:shd w:val="clear" w:color="auto" w:fill="FFFFFF"/>
        </w:rPr>
      </w:pPr>
    </w:p>
    <w:p w:rsidR="00E17573" w:rsidRDefault="00E17573">
      <w:pPr>
        <w:spacing w:line="480" w:lineRule="auto"/>
        <w:contextualSpacing/>
        <w:jc w:val="both"/>
        <w:rPr>
          <w:rFonts w:ascii="Times New Roman" w:hAnsi="Times New Roman" w:cs="Times New Roman"/>
          <w:b/>
          <w:bCs/>
          <w:color w:val="222222"/>
          <w:sz w:val="24"/>
          <w:szCs w:val="24"/>
          <w:shd w:val="clear" w:color="auto" w:fill="FFFFFF"/>
        </w:rPr>
      </w:pPr>
    </w:p>
    <w:p w:rsidR="00E17573" w:rsidRDefault="00E17573">
      <w:pPr>
        <w:spacing w:line="480" w:lineRule="auto"/>
        <w:contextualSpacing/>
        <w:jc w:val="both"/>
        <w:rPr>
          <w:rFonts w:ascii="Times New Roman" w:hAnsi="Times New Roman" w:cs="Times New Roman"/>
          <w:b/>
          <w:bCs/>
          <w:color w:val="222222"/>
          <w:sz w:val="24"/>
          <w:szCs w:val="24"/>
          <w:shd w:val="clear" w:color="auto" w:fill="FFFFFF"/>
        </w:rPr>
      </w:pPr>
    </w:p>
    <w:p w:rsidR="00E17573" w:rsidRDefault="00E17573">
      <w:pPr>
        <w:spacing w:line="480" w:lineRule="auto"/>
        <w:contextualSpacing/>
        <w:jc w:val="both"/>
        <w:rPr>
          <w:rFonts w:ascii="Times New Roman" w:hAnsi="Times New Roman" w:cs="Times New Roman"/>
          <w:b/>
          <w:bCs/>
          <w:color w:val="222222"/>
          <w:sz w:val="24"/>
          <w:szCs w:val="24"/>
          <w:shd w:val="clear" w:color="auto" w:fill="FFFFFF"/>
        </w:rPr>
      </w:pPr>
    </w:p>
    <w:p w:rsidR="00E17573" w:rsidRDefault="00E17573">
      <w:pPr>
        <w:spacing w:line="480" w:lineRule="auto"/>
        <w:contextualSpacing/>
        <w:jc w:val="both"/>
        <w:rPr>
          <w:rFonts w:ascii="Times New Roman" w:hAnsi="Times New Roman" w:cs="Times New Roman"/>
          <w:b/>
          <w:bCs/>
          <w:color w:val="222222"/>
          <w:sz w:val="24"/>
          <w:szCs w:val="24"/>
          <w:shd w:val="clear" w:color="auto" w:fill="FFFFFF"/>
        </w:rPr>
      </w:pPr>
    </w:p>
    <w:p w:rsidR="00E17573" w:rsidRDefault="00E17573">
      <w:pPr>
        <w:spacing w:line="480" w:lineRule="auto"/>
        <w:contextualSpacing/>
        <w:jc w:val="both"/>
        <w:rPr>
          <w:rFonts w:ascii="Times New Roman" w:hAnsi="Times New Roman" w:cs="Times New Roman"/>
          <w:b/>
          <w:bCs/>
          <w:color w:val="222222"/>
          <w:sz w:val="24"/>
          <w:szCs w:val="24"/>
          <w:shd w:val="clear" w:color="auto" w:fill="FFFFFF"/>
        </w:rPr>
      </w:pPr>
    </w:p>
    <w:p w:rsidR="00E17573" w:rsidRDefault="00E17573">
      <w:pPr>
        <w:spacing w:line="480" w:lineRule="auto"/>
        <w:contextualSpacing/>
        <w:jc w:val="both"/>
        <w:rPr>
          <w:rFonts w:ascii="Times New Roman" w:hAnsi="Times New Roman" w:cs="Times New Roman"/>
          <w:b/>
          <w:bCs/>
          <w:color w:val="222222"/>
          <w:sz w:val="24"/>
          <w:szCs w:val="24"/>
          <w:shd w:val="clear" w:color="auto" w:fill="FFFFFF"/>
        </w:rPr>
      </w:pPr>
    </w:p>
    <w:p w:rsidR="00E17573" w:rsidRDefault="000F18C7">
      <w:pPr>
        <w:spacing w:line="480" w:lineRule="auto"/>
        <w:contextualSpacing/>
        <w:jc w:val="cente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References.</w:t>
      </w:r>
    </w:p>
    <w:p w:rsidR="00E17573" w:rsidRDefault="000F18C7">
      <w:pPr>
        <w:spacing w:line="480" w:lineRule="auto"/>
        <w:ind w:left="2160" w:hanging="2160"/>
        <w:contextualSpacing/>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Fu, S., Li, H., Liu, Y., Pirkkalainen, H., &amp; Salo, M. (2020). Social media overload, exhaustion, and use discontinuance: Examining the effects of information overload, system feature overload, and social overload. </w:t>
      </w:r>
      <w:r>
        <w:rPr>
          <w:rFonts w:ascii="Times New Roman" w:hAnsi="Times New Roman" w:cs="Times New Roman"/>
          <w:i/>
          <w:iCs/>
          <w:color w:val="222222"/>
          <w:sz w:val="24"/>
          <w:szCs w:val="24"/>
          <w:shd w:val="clear" w:color="auto" w:fill="FFFFFF"/>
        </w:rPr>
        <w:t>Information Processing &amp; Management</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57</w:t>
      </w:r>
      <w:r>
        <w:rPr>
          <w:rFonts w:ascii="Times New Roman" w:hAnsi="Times New Roman" w:cs="Times New Roman"/>
          <w:color w:val="222222"/>
          <w:sz w:val="24"/>
          <w:szCs w:val="24"/>
          <w:shd w:val="clear" w:color="auto" w:fill="FFFFFF"/>
        </w:rPr>
        <w:t>(6), 102307.</w:t>
      </w:r>
    </w:p>
    <w:p w:rsidR="00E17573" w:rsidRDefault="000F18C7">
      <w:pPr>
        <w:spacing w:line="480" w:lineRule="auto"/>
        <w:ind w:left="2160" w:hanging="2160"/>
        <w:contextualSpacing/>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Crilley, R., Gillespie, M., Vidgen, B., &amp; Willis, A. (2020). Understanding RT’s Audiences: Exposure Not Endorsement for Twitter Followers of Russian State-Sponsored Media. </w:t>
      </w:r>
      <w:r>
        <w:rPr>
          <w:rFonts w:ascii="Times New Roman" w:hAnsi="Times New Roman" w:cs="Times New Roman"/>
          <w:i/>
          <w:iCs/>
          <w:color w:val="222222"/>
          <w:sz w:val="24"/>
          <w:szCs w:val="24"/>
          <w:shd w:val="clear" w:color="auto" w:fill="FFFFFF"/>
        </w:rPr>
        <w:t>The International Journal of Press/Politics</w:t>
      </w:r>
      <w:r>
        <w:rPr>
          <w:rFonts w:ascii="Times New Roman" w:hAnsi="Times New Roman" w:cs="Times New Roman"/>
          <w:color w:val="222222"/>
          <w:sz w:val="24"/>
          <w:szCs w:val="24"/>
          <w:shd w:val="clear" w:color="auto" w:fill="FFFFFF"/>
        </w:rPr>
        <w:t>, 1940161220980692.</w:t>
      </w:r>
    </w:p>
    <w:p w:rsidR="00E17573" w:rsidRDefault="000F18C7">
      <w:pPr>
        <w:spacing w:line="480" w:lineRule="auto"/>
        <w:ind w:left="2160" w:hanging="2160"/>
        <w:contextualSpacing/>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Aichner, T., </w:t>
      </w:r>
      <w:proofErr w:type="spellStart"/>
      <w:r>
        <w:rPr>
          <w:rFonts w:ascii="Times New Roman" w:hAnsi="Times New Roman" w:cs="Times New Roman"/>
          <w:color w:val="222222"/>
          <w:sz w:val="24"/>
          <w:szCs w:val="24"/>
          <w:shd w:val="clear" w:color="auto" w:fill="FFFFFF"/>
        </w:rPr>
        <w:t>Grünfelder</w:t>
      </w:r>
      <w:proofErr w:type="spellEnd"/>
      <w:r>
        <w:rPr>
          <w:rFonts w:ascii="Times New Roman" w:hAnsi="Times New Roman" w:cs="Times New Roman"/>
          <w:color w:val="222222"/>
          <w:sz w:val="24"/>
          <w:szCs w:val="24"/>
          <w:shd w:val="clear" w:color="auto" w:fill="FFFFFF"/>
        </w:rPr>
        <w:t>, M., Maurer, O., &amp; Jegeni, D. (2018). Twenty-Five Years of Social Media: A Review of Social Media Applications and Definitions from 1994 to 2019. </w:t>
      </w:r>
      <w:proofErr w:type="spellStart"/>
      <w:r>
        <w:rPr>
          <w:rFonts w:ascii="Times New Roman" w:hAnsi="Times New Roman" w:cs="Times New Roman"/>
          <w:i/>
          <w:iCs/>
          <w:color w:val="222222"/>
          <w:sz w:val="24"/>
          <w:szCs w:val="24"/>
          <w:shd w:val="clear" w:color="auto" w:fill="FFFFFF"/>
        </w:rPr>
        <w:t>Cyberpsychology</w:t>
      </w:r>
      <w:proofErr w:type="spellEnd"/>
      <w:r>
        <w:rPr>
          <w:rFonts w:ascii="Times New Roman" w:hAnsi="Times New Roman" w:cs="Times New Roman"/>
          <w:i/>
          <w:iCs/>
          <w:color w:val="222222"/>
          <w:sz w:val="24"/>
          <w:szCs w:val="24"/>
          <w:shd w:val="clear" w:color="auto" w:fill="FFFFFF"/>
        </w:rPr>
        <w:t>, Behavior, and Social Networking</w:t>
      </w:r>
      <w:r>
        <w:rPr>
          <w:rFonts w:ascii="Times New Roman" w:hAnsi="Times New Roman" w:cs="Times New Roman"/>
          <w:color w:val="222222"/>
          <w:sz w:val="24"/>
          <w:szCs w:val="24"/>
          <w:shd w:val="clear" w:color="auto" w:fill="FFFFFF"/>
        </w:rPr>
        <w:t>.</w:t>
      </w:r>
    </w:p>
    <w:p w:rsidR="00E17573" w:rsidRDefault="000F18C7">
      <w:pPr>
        <w:spacing w:line="480" w:lineRule="auto"/>
        <w:ind w:left="2160" w:hanging="2160"/>
        <w:contextualSpacing/>
        <w:jc w:val="both"/>
        <w:rPr>
          <w:rFonts w:ascii="Times New Roman" w:hAnsi="Times New Roman" w:cs="Times New Roman"/>
          <w:color w:val="222222"/>
          <w:sz w:val="24"/>
          <w:szCs w:val="24"/>
          <w:shd w:val="clear" w:color="auto" w:fill="FFFFFF"/>
        </w:rPr>
      </w:pPr>
      <w:bookmarkStart w:id="0" w:name="_Hlk64832009"/>
      <w:r>
        <w:rPr>
          <w:rFonts w:ascii="Times New Roman" w:hAnsi="Times New Roman" w:cs="Times New Roman"/>
          <w:color w:val="222222"/>
          <w:sz w:val="24"/>
          <w:szCs w:val="24"/>
          <w:shd w:val="clear" w:color="auto" w:fill="FFFFFF"/>
        </w:rPr>
        <w:lastRenderedPageBreak/>
        <w:t xml:space="preserve">Cangelosi, J. (2020). </w:t>
      </w:r>
      <w:bookmarkEnd w:id="0"/>
      <w:r>
        <w:rPr>
          <w:rFonts w:ascii="Times New Roman" w:hAnsi="Times New Roman" w:cs="Times New Roman"/>
          <w:color w:val="222222"/>
          <w:sz w:val="24"/>
          <w:szCs w:val="24"/>
          <w:shd w:val="clear" w:color="auto" w:fill="FFFFFF"/>
        </w:rPr>
        <w:t>Comparison of millennials, generation X, and baby boomers attitudes toward preventive health information: A social media emphasis.</w:t>
      </w:r>
    </w:p>
    <w:p w:rsidR="00E17573" w:rsidRDefault="000F18C7">
      <w:pPr>
        <w:spacing w:line="480" w:lineRule="auto"/>
        <w:ind w:left="2160" w:hanging="2160"/>
        <w:contextualSpacing/>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Baykal, B. (2020). Generational Differences in </w:t>
      </w:r>
      <w:proofErr w:type="spellStart"/>
      <w:r>
        <w:rPr>
          <w:rFonts w:ascii="Times New Roman" w:hAnsi="Times New Roman" w:cs="Times New Roman"/>
          <w:color w:val="222222"/>
          <w:sz w:val="24"/>
          <w:szCs w:val="24"/>
          <w:shd w:val="clear" w:color="auto" w:fill="FFFFFF"/>
        </w:rPr>
        <w:t>Omnichannel</w:t>
      </w:r>
      <w:proofErr w:type="spellEnd"/>
      <w:r>
        <w:rPr>
          <w:rFonts w:ascii="Times New Roman" w:hAnsi="Times New Roman" w:cs="Times New Roman"/>
          <w:color w:val="222222"/>
          <w:sz w:val="24"/>
          <w:szCs w:val="24"/>
          <w:shd w:val="clear" w:color="auto" w:fill="FFFFFF"/>
        </w:rPr>
        <w:t xml:space="preserve"> Experience: Rising New Segment: </w:t>
      </w:r>
      <w:proofErr w:type="spellStart"/>
      <w:r>
        <w:rPr>
          <w:rFonts w:ascii="Times New Roman" w:hAnsi="Times New Roman" w:cs="Times New Roman"/>
          <w:color w:val="222222"/>
          <w:sz w:val="24"/>
          <w:szCs w:val="24"/>
          <w:shd w:val="clear" w:color="auto" w:fill="FFFFFF"/>
        </w:rPr>
        <w:t>Gen</w:t>
      </w:r>
      <w:proofErr w:type="spellEnd"/>
      <w:r>
        <w:rPr>
          <w:rFonts w:ascii="Times New Roman" w:hAnsi="Times New Roman" w:cs="Times New Roman"/>
          <w:color w:val="222222"/>
          <w:sz w:val="24"/>
          <w:szCs w:val="24"/>
          <w:shd w:val="clear" w:color="auto" w:fill="FFFFFF"/>
        </w:rPr>
        <w:t xml:space="preserve"> Z. In </w:t>
      </w:r>
      <w:r>
        <w:rPr>
          <w:rFonts w:ascii="Times New Roman" w:hAnsi="Times New Roman" w:cs="Times New Roman"/>
          <w:i/>
          <w:iCs/>
          <w:color w:val="222222"/>
          <w:sz w:val="24"/>
          <w:szCs w:val="24"/>
          <w:shd w:val="clear" w:color="auto" w:fill="FFFFFF"/>
        </w:rPr>
        <w:t xml:space="preserve">Managing Customer Experiences in an </w:t>
      </w:r>
      <w:proofErr w:type="spellStart"/>
      <w:r>
        <w:rPr>
          <w:rFonts w:ascii="Times New Roman" w:hAnsi="Times New Roman" w:cs="Times New Roman"/>
          <w:i/>
          <w:iCs/>
          <w:color w:val="222222"/>
          <w:sz w:val="24"/>
          <w:szCs w:val="24"/>
          <w:shd w:val="clear" w:color="auto" w:fill="FFFFFF"/>
        </w:rPr>
        <w:t>Omnichannel</w:t>
      </w:r>
      <w:proofErr w:type="spellEnd"/>
      <w:r>
        <w:rPr>
          <w:rFonts w:ascii="Times New Roman" w:hAnsi="Times New Roman" w:cs="Times New Roman"/>
          <w:i/>
          <w:iCs/>
          <w:color w:val="222222"/>
          <w:sz w:val="24"/>
          <w:szCs w:val="24"/>
          <w:shd w:val="clear" w:color="auto" w:fill="FFFFFF"/>
        </w:rPr>
        <w:t xml:space="preserve"> World: Melody of Online and Offline Environments in the Customer Journey</w:t>
      </w:r>
      <w:r>
        <w:rPr>
          <w:rFonts w:ascii="Times New Roman" w:hAnsi="Times New Roman" w:cs="Times New Roman"/>
          <w:color w:val="222222"/>
          <w:sz w:val="24"/>
          <w:szCs w:val="24"/>
          <w:shd w:val="clear" w:color="auto" w:fill="FFFFFF"/>
        </w:rPr>
        <w:t>. Emerald Publishing Limited.</w:t>
      </w:r>
    </w:p>
    <w:p w:rsidR="00E17573" w:rsidRDefault="000F18C7">
      <w:pPr>
        <w:spacing w:line="480" w:lineRule="auto"/>
        <w:ind w:left="2160" w:hanging="2160"/>
        <w:contextualSpacing/>
        <w:jc w:val="both"/>
        <w:rPr>
          <w:rFonts w:ascii="Times New Roman" w:hAnsi="Times New Roman" w:cs="Times New Roman"/>
          <w:i/>
          <w:iCs/>
          <w:color w:val="222222"/>
          <w:sz w:val="24"/>
          <w:szCs w:val="24"/>
          <w:shd w:val="clear" w:color="auto" w:fill="FFFFFF"/>
        </w:rPr>
      </w:pPr>
      <w:r>
        <w:rPr>
          <w:rFonts w:ascii="Times New Roman" w:hAnsi="Times New Roman" w:cs="Times New Roman"/>
          <w:color w:val="222222"/>
          <w:sz w:val="24"/>
          <w:szCs w:val="24"/>
          <w:shd w:val="clear" w:color="auto" w:fill="FFFFFF"/>
        </w:rPr>
        <w:t>Sands, S., Campbell, C., Ferraro, C., &amp; Mavrommatis, A. (2019). Seeing light in the dark: Investigating the dark side of social media and user response strategies. </w:t>
      </w:r>
      <w:r>
        <w:rPr>
          <w:rFonts w:ascii="Times New Roman" w:hAnsi="Times New Roman" w:cs="Times New Roman"/>
          <w:i/>
          <w:iCs/>
          <w:color w:val="222222"/>
          <w:sz w:val="24"/>
          <w:szCs w:val="24"/>
          <w:shd w:val="clear" w:color="auto" w:fill="FFFFFF"/>
        </w:rPr>
        <w:t>European Management Journal</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38</w:t>
      </w:r>
      <w:r>
        <w:rPr>
          <w:rFonts w:ascii="Times New Roman" w:hAnsi="Times New Roman" w:cs="Times New Roman"/>
          <w:color w:val="222222"/>
          <w:sz w:val="24"/>
          <w:szCs w:val="24"/>
          <w:shd w:val="clear" w:color="auto" w:fill="FFFFFF"/>
        </w:rPr>
        <w:t>(1), 45-53.</w:t>
      </w:r>
    </w:p>
    <w:sectPr w:rsidR="00E1757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2351F" w:rsidRDefault="00B2351F">
      <w:pPr>
        <w:spacing w:after="0" w:line="240" w:lineRule="auto"/>
      </w:pPr>
      <w:r>
        <w:separator/>
      </w:r>
    </w:p>
  </w:endnote>
  <w:endnote w:type="continuationSeparator" w:id="0">
    <w:p w:rsidR="00B2351F" w:rsidRDefault="00B23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Times New Roman">
    <w:altName w:val="Ari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2351F" w:rsidRDefault="00B2351F">
      <w:pPr>
        <w:spacing w:after="0" w:line="240" w:lineRule="auto"/>
      </w:pPr>
      <w:r>
        <w:separator/>
      </w:r>
    </w:p>
  </w:footnote>
  <w:footnote w:type="continuationSeparator" w:id="0">
    <w:p w:rsidR="00B2351F" w:rsidRDefault="00B23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17573" w:rsidRDefault="000F18C7">
    <w:pPr>
      <w:pStyle w:val="Header"/>
      <w:jc w:val="right"/>
    </w:pPr>
    <w:r>
      <w:fldChar w:fldCharType="begin"/>
    </w:r>
    <w:r>
      <w:instrText xml:space="preserve"> PAGE   \* MERGEFORMAT </w:instrText>
    </w:r>
    <w:r>
      <w:fldChar w:fldCharType="separate"/>
    </w:r>
    <w:r>
      <w:rPr>
        <w:noProof/>
      </w:rPr>
      <w:t>1</w:t>
    </w:r>
    <w:r>
      <w:rPr>
        <w:noProof/>
      </w:rPr>
      <w:fldChar w:fldCharType="end"/>
    </w:r>
  </w:p>
  <w:p w:rsidR="00E17573" w:rsidRDefault="00E175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573"/>
    <w:rsid w:val="000F18C7"/>
    <w:rsid w:val="00AC2E8D"/>
    <w:rsid w:val="00AF11E0"/>
    <w:rsid w:val="00B2351F"/>
    <w:rsid w:val="00E17573"/>
    <w:rsid w:val="00F251C7"/>
    <w:rsid w:val="00FB5DA7"/>
    <w:rsid w:val="00FD7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664D5B"/>
  <w15:docId w15:val="{712338A0-C19C-214B-BF5A-1CC1AEA2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679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1035</Words>
  <Characters>5906</Characters>
  <Application>Microsoft Office Word</Application>
  <DocSecurity>0</DocSecurity>
  <Lines>49</Lines>
  <Paragraphs>13</Paragraphs>
  <ScaleCrop>false</ScaleCrop>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 JAFA</dc:creator>
  <cp:lastModifiedBy>jabba lucas</cp:lastModifiedBy>
  <cp:revision>6</cp:revision>
  <dcterms:created xsi:type="dcterms:W3CDTF">2021-02-21T22:47:00Z</dcterms:created>
  <dcterms:modified xsi:type="dcterms:W3CDTF">2021-02-22T21:13:00Z</dcterms:modified>
</cp:coreProperties>
</file>